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9CA9" w14:textId="35FB5C9B" w:rsidR="00820B3E" w:rsidRDefault="00820B3E" w:rsidP="00820B3E">
      <w:pPr>
        <w:jc w:val="center"/>
        <w:rPr>
          <w:rFonts w:ascii="Calibri" w:hAnsi="Calibri"/>
          <w:b/>
          <w:sz w:val="32"/>
          <w:lang w:val="en-CA"/>
        </w:rPr>
      </w:pPr>
      <w:bookmarkStart w:id="0" w:name="_GoBack"/>
      <w:bookmarkEnd w:id="0"/>
      <w:r>
        <w:rPr>
          <w:rFonts w:ascii="Calibri" w:hAnsi="Calibri"/>
          <w:b/>
          <w:sz w:val="32"/>
          <w:lang w:val="en-CA"/>
        </w:rPr>
        <w:t xml:space="preserve"> GOJHL PROTESTS</w:t>
      </w:r>
    </w:p>
    <w:p w14:paraId="7FE2FAB9" w14:textId="247EDFE2" w:rsidR="00820B3E" w:rsidRDefault="00820B3E" w:rsidP="00820B3E">
      <w:pPr>
        <w:rPr>
          <w:rFonts w:ascii="Calibri" w:hAnsi="Calibri"/>
          <w:sz w:val="24"/>
          <w:lang w:val="en-CA"/>
        </w:rPr>
      </w:pPr>
      <w:r>
        <w:rPr>
          <w:rFonts w:ascii="Calibri" w:hAnsi="Calibri"/>
          <w:sz w:val="24"/>
          <w:lang w:val="en-CA"/>
        </w:rPr>
        <w:t>Member teams may file a protest on a game played within the GOJHL</w:t>
      </w:r>
    </w:p>
    <w:p w14:paraId="41B98ACF" w14:textId="77777777" w:rsidR="00820B3E" w:rsidRDefault="00820B3E" w:rsidP="00820B3E">
      <w:pPr>
        <w:rPr>
          <w:rFonts w:ascii="Calibri" w:hAnsi="Calibri"/>
          <w:sz w:val="24"/>
          <w:lang w:val="en-CA"/>
        </w:rPr>
      </w:pPr>
    </w:p>
    <w:p w14:paraId="060F0DEE" w14:textId="203D472C" w:rsidR="00820B3E" w:rsidRDefault="00820B3E" w:rsidP="00820B3E">
      <w:pPr>
        <w:rPr>
          <w:rFonts w:ascii="Calibri" w:hAnsi="Calibri"/>
          <w:sz w:val="24"/>
          <w:lang w:val="en-CA"/>
        </w:rPr>
      </w:pPr>
      <w:r>
        <w:rPr>
          <w:rFonts w:ascii="Calibri" w:hAnsi="Calibri"/>
          <w:sz w:val="24"/>
          <w:lang w:val="en-CA"/>
        </w:rPr>
        <w:t>Upon receipt of a protest in the GOJHL office the Commissioner will examine the protest to determine that all procedures relative to the filing of the protest have been properly adhered to (reg. P2 &amp; P3) and that there exist sufficient grounds upon which to base a protest</w:t>
      </w:r>
    </w:p>
    <w:p w14:paraId="0A961810" w14:textId="77777777" w:rsidR="00820B3E" w:rsidRDefault="00820B3E" w:rsidP="00820B3E">
      <w:pPr>
        <w:rPr>
          <w:rFonts w:ascii="Calibri" w:hAnsi="Calibri"/>
          <w:sz w:val="24"/>
          <w:lang w:val="en-CA"/>
        </w:rPr>
      </w:pPr>
      <w:r>
        <w:rPr>
          <w:rFonts w:ascii="Calibri" w:hAnsi="Calibri"/>
          <w:sz w:val="24"/>
          <w:lang w:val="en-CA"/>
        </w:rPr>
        <w:t>(reg. P1).</w:t>
      </w:r>
    </w:p>
    <w:p w14:paraId="3B25E4EC" w14:textId="77777777" w:rsidR="00820B3E" w:rsidRDefault="00820B3E" w:rsidP="00820B3E">
      <w:pPr>
        <w:rPr>
          <w:rFonts w:ascii="Calibri" w:hAnsi="Calibri"/>
          <w:sz w:val="24"/>
          <w:lang w:val="en-CA"/>
        </w:rPr>
      </w:pPr>
    </w:p>
    <w:p w14:paraId="37CBF3AC" w14:textId="6350C2E5" w:rsidR="00820B3E" w:rsidRDefault="00820B3E" w:rsidP="00820B3E">
      <w:pPr>
        <w:rPr>
          <w:rFonts w:ascii="Calibri" w:hAnsi="Calibri"/>
          <w:sz w:val="24"/>
          <w:lang w:val="en-CA"/>
        </w:rPr>
      </w:pPr>
      <w:r>
        <w:rPr>
          <w:rFonts w:ascii="Calibri" w:hAnsi="Calibri"/>
          <w:sz w:val="24"/>
          <w:lang w:val="en-CA"/>
        </w:rPr>
        <w:t>Following a satisfactory examination of the protest and providing the protest complies with the conditions set forth in reg. P1 and the procedures set out in reg. P2 &amp; P3 have been met, the Commissioner will proceed with the protest in accordance with regulation P4.</w:t>
      </w:r>
    </w:p>
    <w:p w14:paraId="264FE155" w14:textId="77777777" w:rsidR="00820B3E" w:rsidRDefault="00820B3E" w:rsidP="00820B3E">
      <w:pPr>
        <w:rPr>
          <w:rFonts w:ascii="Calibri" w:hAnsi="Calibri"/>
          <w:b/>
          <w:sz w:val="32"/>
          <w:lang w:val="en-CA"/>
        </w:rPr>
      </w:pPr>
    </w:p>
    <w:p w14:paraId="6184372B" w14:textId="77777777" w:rsidR="00820B3E" w:rsidRPr="00820B3E" w:rsidRDefault="00820B3E" w:rsidP="00820B3E">
      <w:pPr>
        <w:rPr>
          <w:rFonts w:ascii="Calibri" w:hAnsi="Calibri"/>
          <w:b/>
          <w:sz w:val="24"/>
          <w:lang w:val="en-CA"/>
        </w:rPr>
      </w:pPr>
      <w:r w:rsidRPr="00820B3E">
        <w:rPr>
          <w:rFonts w:ascii="Calibri" w:hAnsi="Calibri"/>
          <w:b/>
          <w:sz w:val="24"/>
          <w:lang w:val="en-CA"/>
        </w:rPr>
        <w:t>P1 Matters that may be protested are:</w:t>
      </w:r>
    </w:p>
    <w:p w14:paraId="28455CCA" w14:textId="77777777" w:rsidR="00820B3E" w:rsidRDefault="00820B3E" w:rsidP="00820B3E">
      <w:pPr>
        <w:rPr>
          <w:rFonts w:ascii="Calibri" w:hAnsi="Calibri"/>
          <w:sz w:val="24"/>
          <w:lang w:val="en-CA"/>
        </w:rPr>
      </w:pPr>
      <w:r w:rsidRPr="00820B3E">
        <w:rPr>
          <w:rFonts w:ascii="Calibri" w:hAnsi="Calibri"/>
          <w:b/>
          <w:sz w:val="24"/>
          <w:lang w:val="en-CA"/>
        </w:rPr>
        <w:t>(a)</w:t>
      </w:r>
      <w:r w:rsidRPr="00820B3E">
        <w:rPr>
          <w:rFonts w:ascii="Calibri" w:hAnsi="Calibri"/>
          <w:sz w:val="24"/>
          <w:lang w:val="en-CA"/>
        </w:rPr>
        <w:t xml:space="preserve"> a game official’s miss-application of a Hockey Canada playing rule which may have given the opposition team a distinct advantage. </w:t>
      </w:r>
      <w:r w:rsidRPr="00820B3E">
        <w:rPr>
          <w:rFonts w:ascii="Calibri" w:hAnsi="Calibri"/>
          <w:b/>
          <w:sz w:val="24"/>
          <w:lang w:val="en-CA"/>
        </w:rPr>
        <w:t>NOTE:</w:t>
      </w:r>
      <w:r w:rsidRPr="00820B3E">
        <w:rPr>
          <w:rFonts w:ascii="Calibri" w:hAnsi="Calibri"/>
          <w:sz w:val="24"/>
          <w:lang w:val="en-CA"/>
        </w:rPr>
        <w:t xml:space="preserve"> An official’s judgement is not grounds for protest.</w:t>
      </w:r>
      <w:r>
        <w:rPr>
          <w:rFonts w:ascii="Calibri" w:hAnsi="Calibri"/>
          <w:sz w:val="24"/>
          <w:lang w:val="en-CA"/>
        </w:rPr>
        <w:t xml:space="preserve"> </w:t>
      </w:r>
    </w:p>
    <w:p w14:paraId="08058801" w14:textId="77777777" w:rsidR="00820B3E" w:rsidRDefault="00820B3E" w:rsidP="00820B3E">
      <w:pPr>
        <w:rPr>
          <w:rFonts w:ascii="Calibri" w:hAnsi="Calibri"/>
          <w:sz w:val="24"/>
          <w:lang w:val="en-CA"/>
        </w:rPr>
      </w:pPr>
    </w:p>
    <w:p w14:paraId="573F40F0" w14:textId="77777777" w:rsidR="00820B3E" w:rsidRDefault="00820B3E" w:rsidP="00820B3E">
      <w:pPr>
        <w:rPr>
          <w:rFonts w:ascii="Calibri" w:hAnsi="Calibri"/>
          <w:sz w:val="24"/>
          <w:lang w:val="en-CA"/>
        </w:rPr>
      </w:pPr>
      <w:r>
        <w:rPr>
          <w:rFonts w:ascii="Calibri" w:hAnsi="Calibri"/>
          <w:b/>
          <w:sz w:val="24"/>
          <w:lang w:val="en-CA"/>
        </w:rPr>
        <w:t>(b)</w:t>
      </w:r>
      <w:r>
        <w:rPr>
          <w:rFonts w:ascii="Calibri" w:hAnsi="Calibri"/>
          <w:sz w:val="24"/>
          <w:lang w:val="en-CA"/>
        </w:rPr>
        <w:t xml:space="preserve"> an improperly registered, an unregistered or a suspended player, coach, manager, trainer or other person participating in a game or being on the player’s bench during a game.</w:t>
      </w:r>
    </w:p>
    <w:p w14:paraId="30AB2855" w14:textId="77777777" w:rsidR="00820B3E" w:rsidRDefault="00820B3E" w:rsidP="00820B3E">
      <w:pPr>
        <w:rPr>
          <w:rFonts w:ascii="Calibri" w:hAnsi="Calibri"/>
          <w:sz w:val="24"/>
          <w:lang w:val="en-CA"/>
        </w:rPr>
      </w:pPr>
    </w:p>
    <w:p w14:paraId="313702FF" w14:textId="77777777" w:rsidR="00820B3E" w:rsidRDefault="00820B3E" w:rsidP="00820B3E">
      <w:pPr>
        <w:rPr>
          <w:rFonts w:ascii="Calibri" w:hAnsi="Calibri"/>
          <w:sz w:val="24"/>
          <w:lang w:val="en-CA"/>
        </w:rPr>
      </w:pPr>
      <w:r>
        <w:rPr>
          <w:rFonts w:ascii="Calibri" w:hAnsi="Calibri"/>
          <w:b/>
          <w:sz w:val="24"/>
          <w:lang w:val="en-CA"/>
        </w:rPr>
        <w:t>(c)</w:t>
      </w:r>
      <w:r>
        <w:rPr>
          <w:rFonts w:ascii="Calibri" w:hAnsi="Calibri"/>
          <w:sz w:val="24"/>
          <w:lang w:val="en-CA"/>
        </w:rPr>
        <w:t xml:space="preserve"> a player not residing at the address indicated on his registration certificate at the time of registration, or not residing there for the remainder of the season, or not notifying the OHA of a change of address whether or not the change of address changes the player’s status if same is a relative factor.</w:t>
      </w:r>
    </w:p>
    <w:p w14:paraId="267ABA5E" w14:textId="77777777" w:rsidR="00820B3E" w:rsidRDefault="00820B3E" w:rsidP="00820B3E">
      <w:pPr>
        <w:rPr>
          <w:rFonts w:ascii="Calibri" w:hAnsi="Calibri"/>
          <w:sz w:val="24"/>
          <w:lang w:val="en-CA"/>
        </w:rPr>
      </w:pPr>
    </w:p>
    <w:p w14:paraId="4D4C77CC" w14:textId="77777777" w:rsidR="00820B3E" w:rsidRDefault="00820B3E" w:rsidP="00820B3E">
      <w:pPr>
        <w:rPr>
          <w:rFonts w:ascii="Calibri" w:hAnsi="Calibri"/>
          <w:sz w:val="24"/>
          <w:lang w:val="en-CA"/>
        </w:rPr>
      </w:pPr>
      <w:r>
        <w:rPr>
          <w:rFonts w:ascii="Calibri" w:hAnsi="Calibri"/>
          <w:b/>
          <w:sz w:val="24"/>
          <w:lang w:val="en-CA"/>
        </w:rPr>
        <w:t>(d)</w:t>
      </w:r>
      <w:r>
        <w:rPr>
          <w:rFonts w:ascii="Calibri" w:hAnsi="Calibri"/>
          <w:sz w:val="24"/>
          <w:lang w:val="en-CA"/>
        </w:rPr>
        <w:t xml:space="preserve"> a player ineligible by virtue of his team having utilized more than their player and/or import allotment provided under the regulations of the OHA.</w:t>
      </w:r>
    </w:p>
    <w:p w14:paraId="099CAA2D" w14:textId="77777777" w:rsidR="00820B3E" w:rsidRDefault="00820B3E" w:rsidP="00820B3E">
      <w:pPr>
        <w:rPr>
          <w:rFonts w:ascii="Calibri" w:hAnsi="Calibri"/>
          <w:sz w:val="24"/>
          <w:lang w:val="en-CA"/>
        </w:rPr>
      </w:pPr>
    </w:p>
    <w:p w14:paraId="5A392463" w14:textId="77777777" w:rsidR="00820B3E" w:rsidRDefault="00820B3E" w:rsidP="00820B3E">
      <w:pPr>
        <w:autoSpaceDE w:val="0"/>
        <w:autoSpaceDN w:val="0"/>
        <w:adjustRightInd w:val="0"/>
        <w:rPr>
          <w:rFonts w:asciiTheme="minorHAnsi" w:hAnsiTheme="minorHAnsi" w:cs="Calibri,Bold"/>
          <w:bCs/>
          <w:sz w:val="24"/>
          <w:szCs w:val="24"/>
          <w:lang w:eastAsia="en-US"/>
        </w:rPr>
      </w:pPr>
      <w:r>
        <w:rPr>
          <w:rFonts w:asciiTheme="minorHAnsi" w:hAnsiTheme="minorHAnsi" w:cs="Calibri,Bold"/>
          <w:b/>
          <w:bCs/>
          <w:sz w:val="24"/>
          <w:szCs w:val="24"/>
          <w:lang w:eastAsia="en-US"/>
        </w:rPr>
        <w:t xml:space="preserve">P2 </w:t>
      </w:r>
      <w:r>
        <w:rPr>
          <w:rFonts w:asciiTheme="minorHAnsi" w:hAnsiTheme="minorHAnsi" w:cs="Calibri,Bold"/>
          <w:bCs/>
          <w:sz w:val="24"/>
          <w:szCs w:val="24"/>
          <w:lang w:eastAsia="en-US"/>
        </w:rPr>
        <w:t>Time allowed for filing a protest:</w:t>
      </w:r>
    </w:p>
    <w:p w14:paraId="5D35D1F7" w14:textId="3E6999B2" w:rsidR="00820B3E" w:rsidRDefault="00820B3E" w:rsidP="00820B3E">
      <w:pPr>
        <w:spacing w:before="100" w:beforeAutospacing="1" w:after="100" w:afterAutospacing="1"/>
        <w:rPr>
          <w:rFonts w:asciiTheme="minorHAnsi" w:hAnsiTheme="minorHAnsi" w:cstheme="minorHAnsi"/>
          <w:sz w:val="24"/>
        </w:rPr>
      </w:pPr>
      <w:r>
        <w:rPr>
          <w:rFonts w:asciiTheme="minorHAnsi" w:hAnsiTheme="minorHAnsi" w:cstheme="minorHAnsi"/>
          <w:b/>
          <w:bCs/>
          <w:sz w:val="24"/>
        </w:rPr>
        <w:t xml:space="preserve">(a) </w:t>
      </w:r>
      <w:r>
        <w:rPr>
          <w:rFonts w:asciiTheme="minorHAnsi" w:hAnsiTheme="minorHAnsi" w:cstheme="minorHAnsi"/>
          <w:sz w:val="24"/>
        </w:rPr>
        <w:t>a protest must be filed within 48 hours of the starting time of the game in question.</w:t>
      </w:r>
      <w:r>
        <w:rPr>
          <w:rFonts w:asciiTheme="minorHAnsi" w:hAnsiTheme="minorHAnsi" w:cstheme="minorHAnsi"/>
          <w:sz w:val="24"/>
        </w:rPr>
        <w:br/>
      </w:r>
      <w:r>
        <w:rPr>
          <w:rFonts w:asciiTheme="minorHAnsi" w:hAnsiTheme="minorHAnsi" w:cstheme="minorHAnsi"/>
          <w:b/>
          <w:sz w:val="24"/>
        </w:rPr>
        <w:br/>
        <w:t>NEW (b)</w:t>
      </w:r>
      <w:r>
        <w:rPr>
          <w:rFonts w:asciiTheme="minorHAnsi" w:hAnsiTheme="minorHAnsi" w:cstheme="minorHAnsi"/>
          <w:sz w:val="24"/>
        </w:rPr>
        <w:t xml:space="preserve"> During Playoffs:  a protest must be filed prior to the next game between the teams named in the protest should the game be scheduled before the 48-hour time limit. </w:t>
      </w:r>
      <w:r>
        <w:rPr>
          <w:rFonts w:asciiTheme="minorHAnsi" w:hAnsiTheme="minorHAnsi" w:cstheme="minorHAnsi"/>
          <w:b/>
          <w:sz w:val="24"/>
        </w:rPr>
        <w:br/>
      </w:r>
      <w:r>
        <w:rPr>
          <w:rFonts w:asciiTheme="minorHAnsi" w:hAnsiTheme="minorHAnsi" w:cstheme="minorHAnsi"/>
          <w:b/>
          <w:sz w:val="24"/>
        </w:rPr>
        <w:br/>
        <w:t>NEW (c)</w:t>
      </w:r>
      <w:r>
        <w:rPr>
          <w:rFonts w:asciiTheme="minorHAnsi" w:hAnsiTheme="minorHAnsi" w:cstheme="minorHAnsi"/>
          <w:sz w:val="24"/>
        </w:rPr>
        <w:t xml:space="preserve"> During Playoffs:  a protest must be filed within 24 hours of the conclusion of a series. </w:t>
      </w:r>
    </w:p>
    <w:p w14:paraId="74C4CF10" w14:textId="77777777" w:rsidR="00820B3E" w:rsidRDefault="00820B3E" w:rsidP="00820B3E">
      <w:pPr>
        <w:rPr>
          <w:rFonts w:ascii="Calibri" w:hAnsi="Calibri" w:cs="Calibri"/>
          <w:sz w:val="18"/>
          <w:szCs w:val="18"/>
          <w:lang w:eastAsia="en-US"/>
        </w:rPr>
      </w:pPr>
    </w:p>
    <w:p w14:paraId="3D488CF4" w14:textId="77777777" w:rsidR="00820B3E" w:rsidRDefault="00820B3E" w:rsidP="00820B3E">
      <w:pPr>
        <w:rPr>
          <w:rFonts w:ascii="Calibri" w:hAnsi="Calibri"/>
          <w:b/>
          <w:sz w:val="32"/>
          <w:lang w:val="en-CA"/>
        </w:rPr>
      </w:pPr>
      <w:r>
        <w:rPr>
          <w:rFonts w:ascii="Calibri" w:hAnsi="Calibri"/>
          <w:b/>
          <w:sz w:val="24"/>
          <w:lang w:val="en-CA"/>
        </w:rPr>
        <w:t>P3 To Protest a team must:</w:t>
      </w:r>
    </w:p>
    <w:p w14:paraId="23543519" w14:textId="01B01CD5" w:rsidR="00820B3E" w:rsidRDefault="00820B3E" w:rsidP="00820B3E">
      <w:pPr>
        <w:rPr>
          <w:rFonts w:ascii="Calibri" w:hAnsi="Calibri"/>
          <w:sz w:val="24"/>
          <w:lang w:val="en-CA"/>
        </w:rPr>
      </w:pPr>
      <w:r>
        <w:rPr>
          <w:rFonts w:ascii="Calibri" w:hAnsi="Calibri"/>
          <w:b/>
          <w:sz w:val="24"/>
          <w:lang w:val="en-CA"/>
        </w:rPr>
        <w:t>(a)</w:t>
      </w:r>
      <w:r>
        <w:rPr>
          <w:rFonts w:ascii="Calibri" w:hAnsi="Calibri"/>
          <w:sz w:val="24"/>
          <w:lang w:val="en-CA"/>
        </w:rPr>
        <w:t xml:space="preserve"> Prepare the protest in writing.  It is to specify the reasons for the protest, and present the facts supporting the protest.  It is to be concise and contain numbered paragraphs. The protest shall be filed with the GOJHL Commissioner and be accompanied by a $500 00 protest fee </w:t>
      </w:r>
      <w:proofErr w:type="gramStart"/>
      <w:r>
        <w:rPr>
          <w:rFonts w:ascii="Calibri" w:hAnsi="Calibri"/>
          <w:sz w:val="24"/>
          <w:lang w:val="en-CA"/>
        </w:rPr>
        <w:t>The</w:t>
      </w:r>
      <w:proofErr w:type="gramEnd"/>
      <w:r>
        <w:rPr>
          <w:rFonts w:ascii="Calibri" w:hAnsi="Calibri"/>
          <w:sz w:val="24"/>
          <w:lang w:val="en-CA"/>
        </w:rPr>
        <w:t xml:space="preserve"> protest is to be filed by email, directly to the GOJHL office (within 48 hours of the starting time for the game) Sundays and holidays included.</w:t>
      </w:r>
    </w:p>
    <w:p w14:paraId="7085CC5B" w14:textId="77777777" w:rsidR="00820B3E" w:rsidRDefault="00820B3E" w:rsidP="00820B3E">
      <w:pPr>
        <w:rPr>
          <w:rFonts w:ascii="Calibri" w:hAnsi="Calibri"/>
          <w:sz w:val="24"/>
          <w:lang w:val="en-CA"/>
        </w:rPr>
      </w:pPr>
    </w:p>
    <w:p w14:paraId="57FDBBD0" w14:textId="77777777" w:rsidR="00820B3E" w:rsidRDefault="00820B3E" w:rsidP="00820B3E">
      <w:pPr>
        <w:jc w:val="center"/>
        <w:rPr>
          <w:rFonts w:ascii="Calibri" w:hAnsi="Calibri"/>
          <w:b/>
          <w:sz w:val="32"/>
          <w:lang w:val="en-CA"/>
        </w:rPr>
      </w:pPr>
    </w:p>
    <w:p w14:paraId="3C1B0509" w14:textId="77777777" w:rsidR="00820B3E" w:rsidRDefault="00820B3E" w:rsidP="00820B3E">
      <w:pPr>
        <w:jc w:val="center"/>
        <w:rPr>
          <w:rFonts w:ascii="Calibri" w:hAnsi="Calibri"/>
          <w:b/>
          <w:sz w:val="32"/>
          <w:lang w:val="en-CA"/>
        </w:rPr>
      </w:pPr>
      <w:r>
        <w:rPr>
          <w:rFonts w:ascii="Calibri" w:hAnsi="Calibri"/>
          <w:b/>
          <w:sz w:val="32"/>
          <w:lang w:val="en-CA"/>
        </w:rPr>
        <w:t>PROTESTS</w:t>
      </w:r>
    </w:p>
    <w:p w14:paraId="739D0860" w14:textId="53CA6EDA" w:rsidR="00820B3E" w:rsidRDefault="00820B3E" w:rsidP="00820B3E">
      <w:pPr>
        <w:rPr>
          <w:rFonts w:ascii="Calibri" w:hAnsi="Calibri"/>
          <w:sz w:val="24"/>
          <w:lang w:val="en-CA"/>
        </w:rPr>
      </w:pPr>
      <w:r>
        <w:rPr>
          <w:rFonts w:ascii="Calibri" w:hAnsi="Calibri"/>
          <w:b/>
          <w:sz w:val="24"/>
          <w:lang w:val="en-CA"/>
        </w:rPr>
        <w:t xml:space="preserve"> </w:t>
      </w:r>
      <w:r w:rsidRPr="00820B3E">
        <w:rPr>
          <w:rFonts w:ascii="Calibri" w:hAnsi="Calibri"/>
          <w:b/>
          <w:sz w:val="24"/>
          <w:lang w:val="en-CA"/>
        </w:rPr>
        <w:t>(b)</w:t>
      </w:r>
      <w:r w:rsidRPr="00820B3E">
        <w:rPr>
          <w:rFonts w:ascii="Calibri" w:hAnsi="Calibri"/>
          <w:sz w:val="24"/>
          <w:lang w:val="en-CA"/>
        </w:rPr>
        <w:t xml:space="preserve"> Deliver  email  a copy of the protest to the protested team within the time outlined in P2 (a) or (b) The </w:t>
      </w:r>
      <w:r>
        <w:rPr>
          <w:rFonts w:ascii="Calibri" w:hAnsi="Calibri"/>
          <w:sz w:val="24"/>
          <w:lang w:val="en-CA"/>
        </w:rPr>
        <w:t>GOJHL</w:t>
      </w:r>
      <w:r w:rsidRPr="00820B3E">
        <w:rPr>
          <w:rFonts w:ascii="Calibri" w:hAnsi="Calibri"/>
          <w:sz w:val="24"/>
          <w:lang w:val="en-CA"/>
        </w:rPr>
        <w:t xml:space="preserve"> will forward a copy to the offending team, by email, who will have 48 hours to respond from the time the notice leaves the </w:t>
      </w:r>
      <w:r>
        <w:rPr>
          <w:rFonts w:ascii="Calibri" w:hAnsi="Calibri"/>
          <w:sz w:val="24"/>
          <w:lang w:val="en-CA"/>
        </w:rPr>
        <w:t>GOJHL</w:t>
      </w:r>
      <w:r w:rsidRPr="00820B3E">
        <w:rPr>
          <w:rFonts w:ascii="Calibri" w:hAnsi="Calibri"/>
          <w:sz w:val="24"/>
          <w:lang w:val="en-CA"/>
        </w:rPr>
        <w:t xml:space="preserve"> office.</w:t>
      </w:r>
    </w:p>
    <w:p w14:paraId="6A575078" w14:textId="77777777" w:rsidR="00820B3E" w:rsidRDefault="00820B3E" w:rsidP="00820B3E">
      <w:pPr>
        <w:rPr>
          <w:rFonts w:ascii="Calibri" w:hAnsi="Calibri"/>
          <w:sz w:val="24"/>
          <w:lang w:val="en-CA"/>
        </w:rPr>
      </w:pPr>
    </w:p>
    <w:p w14:paraId="32B706B4" w14:textId="77777777" w:rsidR="00820B3E" w:rsidRDefault="00820B3E" w:rsidP="00820B3E">
      <w:pPr>
        <w:rPr>
          <w:rFonts w:ascii="Calibri" w:hAnsi="Calibri"/>
          <w:sz w:val="24"/>
          <w:lang w:val="en-CA"/>
        </w:rPr>
      </w:pPr>
    </w:p>
    <w:p w14:paraId="3288EB94" w14:textId="0774192A" w:rsidR="00820B3E" w:rsidRDefault="00820B3E" w:rsidP="00820B3E">
      <w:pPr>
        <w:rPr>
          <w:rFonts w:ascii="Calibri" w:hAnsi="Calibri"/>
          <w:sz w:val="24"/>
          <w:lang w:val="en-CA"/>
        </w:rPr>
      </w:pPr>
      <w:r>
        <w:rPr>
          <w:rFonts w:ascii="Calibri" w:hAnsi="Calibri"/>
          <w:b/>
          <w:sz w:val="24"/>
          <w:lang w:val="en-CA"/>
        </w:rPr>
        <w:t xml:space="preserve">P4 </w:t>
      </w:r>
      <w:r>
        <w:rPr>
          <w:rFonts w:ascii="Calibri" w:hAnsi="Calibri"/>
          <w:sz w:val="24"/>
          <w:lang w:val="en-CA"/>
        </w:rPr>
        <w:t>(a) Within 5 days of a protest being filed the Commissioner shall set a date for hearing the protest. The hearing date will be no more than 10 days after the filing date, if it is deemed necessary.</w:t>
      </w:r>
    </w:p>
    <w:p w14:paraId="49C24B7B" w14:textId="77777777" w:rsidR="00820B3E" w:rsidRDefault="00820B3E" w:rsidP="00820B3E">
      <w:pPr>
        <w:rPr>
          <w:rFonts w:ascii="Calibri" w:hAnsi="Calibri"/>
          <w:sz w:val="24"/>
          <w:lang w:val="en-CA"/>
        </w:rPr>
      </w:pPr>
    </w:p>
    <w:p w14:paraId="3DD688CC" w14:textId="262CB2E5" w:rsidR="00820B3E" w:rsidRDefault="00820B3E" w:rsidP="00820B3E">
      <w:pPr>
        <w:rPr>
          <w:rFonts w:ascii="Calibri" w:hAnsi="Calibri"/>
          <w:sz w:val="24"/>
          <w:lang w:val="en-CA"/>
        </w:rPr>
      </w:pPr>
      <w:r>
        <w:rPr>
          <w:rFonts w:ascii="Calibri" w:hAnsi="Calibri"/>
          <w:b/>
          <w:sz w:val="24"/>
          <w:lang w:val="en-CA"/>
        </w:rPr>
        <w:t>(b)</w:t>
      </w:r>
      <w:r>
        <w:rPr>
          <w:rFonts w:ascii="Calibri" w:hAnsi="Calibri"/>
          <w:sz w:val="24"/>
          <w:lang w:val="en-CA"/>
        </w:rPr>
        <w:t xml:space="preserve"> In emergency situations the Commissioner may expedite the protest hearing.</w:t>
      </w:r>
    </w:p>
    <w:p w14:paraId="6A4ACF27" w14:textId="77777777" w:rsidR="00820B3E" w:rsidRDefault="00820B3E" w:rsidP="00820B3E">
      <w:pPr>
        <w:rPr>
          <w:rFonts w:ascii="Calibri" w:hAnsi="Calibri"/>
          <w:sz w:val="24"/>
          <w:lang w:val="en-CA"/>
        </w:rPr>
      </w:pPr>
    </w:p>
    <w:p w14:paraId="52F9EB3A" w14:textId="2E6C5EB8" w:rsidR="00820B3E" w:rsidRDefault="00820B3E" w:rsidP="00820B3E">
      <w:pPr>
        <w:rPr>
          <w:rFonts w:ascii="Calibri" w:hAnsi="Calibri"/>
          <w:sz w:val="24"/>
          <w:lang w:val="en-CA"/>
        </w:rPr>
      </w:pPr>
      <w:r>
        <w:rPr>
          <w:rFonts w:ascii="Calibri" w:hAnsi="Calibri"/>
          <w:b/>
          <w:sz w:val="24"/>
          <w:lang w:val="en-CA"/>
        </w:rPr>
        <w:t>P5</w:t>
      </w:r>
      <w:r>
        <w:rPr>
          <w:rFonts w:ascii="Calibri" w:hAnsi="Calibri"/>
          <w:sz w:val="24"/>
          <w:lang w:val="en-CA"/>
        </w:rPr>
        <w:t xml:space="preserve"> The Commissioner shall notify all parties to the protest as soon as the hearing date is set.  His notice shall inform the parties of the time, place and date of the hearing.  He will also notify that if a party does not attend the hearing the protest may proceed in the party’s absence.</w:t>
      </w:r>
    </w:p>
    <w:p w14:paraId="58C1E4AA" w14:textId="77777777" w:rsidR="00820B3E" w:rsidRDefault="00820B3E" w:rsidP="00820B3E">
      <w:pPr>
        <w:rPr>
          <w:rFonts w:ascii="Calibri" w:hAnsi="Calibri"/>
          <w:sz w:val="24"/>
          <w:lang w:val="en-CA"/>
        </w:rPr>
      </w:pPr>
    </w:p>
    <w:p w14:paraId="216E2A5F" w14:textId="77777777" w:rsidR="00820B3E" w:rsidRDefault="00820B3E" w:rsidP="00820B3E">
      <w:pPr>
        <w:rPr>
          <w:rFonts w:ascii="Calibri" w:hAnsi="Calibri"/>
          <w:sz w:val="24"/>
          <w:lang w:val="en-CA"/>
        </w:rPr>
      </w:pPr>
      <w:r>
        <w:rPr>
          <w:rFonts w:ascii="Calibri" w:hAnsi="Calibri"/>
          <w:b/>
          <w:sz w:val="24"/>
          <w:lang w:val="en-CA"/>
        </w:rPr>
        <w:t>P6</w:t>
      </w:r>
      <w:r>
        <w:rPr>
          <w:rFonts w:ascii="Calibri" w:hAnsi="Calibri"/>
          <w:sz w:val="24"/>
          <w:lang w:val="en-CA"/>
        </w:rPr>
        <w:t xml:space="preserve"> A team served with a notice of a protest may decide to defend or not defend against the protest.</w:t>
      </w:r>
    </w:p>
    <w:p w14:paraId="1A5C4579" w14:textId="77777777" w:rsidR="00820B3E" w:rsidRDefault="00820B3E" w:rsidP="00820B3E">
      <w:pPr>
        <w:rPr>
          <w:rFonts w:ascii="Calibri" w:hAnsi="Calibri"/>
          <w:sz w:val="24"/>
          <w:lang w:val="en-CA"/>
        </w:rPr>
      </w:pPr>
    </w:p>
    <w:p w14:paraId="60E1E6F5" w14:textId="77777777" w:rsidR="00820B3E" w:rsidRDefault="00820B3E" w:rsidP="00820B3E">
      <w:pPr>
        <w:rPr>
          <w:rFonts w:ascii="Calibri" w:hAnsi="Calibri"/>
          <w:b/>
          <w:sz w:val="24"/>
          <w:lang w:val="en-CA"/>
        </w:rPr>
      </w:pPr>
      <w:r>
        <w:rPr>
          <w:rFonts w:ascii="Calibri" w:hAnsi="Calibri"/>
          <w:b/>
          <w:sz w:val="24"/>
          <w:lang w:val="en-CA"/>
        </w:rPr>
        <w:t>P7 To defend against a protest a team must:</w:t>
      </w:r>
    </w:p>
    <w:p w14:paraId="55662117" w14:textId="77777777" w:rsidR="00820B3E" w:rsidRDefault="00820B3E" w:rsidP="00820B3E">
      <w:pPr>
        <w:rPr>
          <w:rFonts w:ascii="Calibri" w:hAnsi="Calibri"/>
          <w:sz w:val="24"/>
          <w:lang w:val="en-CA"/>
        </w:rPr>
      </w:pPr>
      <w:r>
        <w:rPr>
          <w:rFonts w:ascii="Calibri" w:hAnsi="Calibri"/>
          <w:b/>
          <w:sz w:val="24"/>
          <w:lang w:val="en-CA"/>
        </w:rPr>
        <w:t>(a)</w:t>
      </w:r>
      <w:r>
        <w:rPr>
          <w:rFonts w:ascii="Calibri" w:hAnsi="Calibri"/>
          <w:sz w:val="24"/>
          <w:lang w:val="en-CA"/>
        </w:rPr>
        <w:t xml:space="preserve"> Prepare a rebuttal in writing.  It is to specify the reasons the protest is incorrect and facts to support its stand.  It is to be concise and contain numbered paragraphs.</w:t>
      </w:r>
    </w:p>
    <w:p w14:paraId="4A105243" w14:textId="77777777" w:rsidR="00820B3E" w:rsidRDefault="00820B3E" w:rsidP="00820B3E">
      <w:pPr>
        <w:rPr>
          <w:rFonts w:ascii="Calibri" w:hAnsi="Calibri"/>
          <w:sz w:val="24"/>
          <w:lang w:val="en-CA"/>
        </w:rPr>
      </w:pPr>
    </w:p>
    <w:p w14:paraId="6F30A52F" w14:textId="26AFFB58" w:rsidR="00820B3E" w:rsidRDefault="00820B3E" w:rsidP="00820B3E">
      <w:pPr>
        <w:rPr>
          <w:rFonts w:ascii="Calibri" w:hAnsi="Calibri"/>
          <w:sz w:val="24"/>
          <w:lang w:val="en-CA"/>
        </w:rPr>
      </w:pPr>
      <w:r>
        <w:rPr>
          <w:rFonts w:ascii="Calibri" w:hAnsi="Calibri"/>
          <w:b/>
          <w:sz w:val="24"/>
          <w:lang w:val="en-CA"/>
        </w:rPr>
        <w:t>(b)</w:t>
      </w:r>
      <w:r>
        <w:rPr>
          <w:rFonts w:ascii="Calibri" w:hAnsi="Calibri"/>
          <w:sz w:val="24"/>
          <w:lang w:val="en-CA"/>
        </w:rPr>
        <w:t xml:space="preserve"> The rebuttal shall be filed with the GOJHL within 48 hours of receiving the protest.</w:t>
      </w:r>
    </w:p>
    <w:p w14:paraId="383DFBE7" w14:textId="77777777" w:rsidR="00820B3E" w:rsidRDefault="00820B3E" w:rsidP="00820B3E">
      <w:pPr>
        <w:rPr>
          <w:rFonts w:ascii="Calibri" w:hAnsi="Calibri"/>
          <w:sz w:val="24"/>
          <w:lang w:val="en-CA"/>
        </w:rPr>
      </w:pPr>
    </w:p>
    <w:p w14:paraId="3CF5A243" w14:textId="77777777" w:rsidR="00820B3E" w:rsidRDefault="00820B3E" w:rsidP="00820B3E">
      <w:pPr>
        <w:rPr>
          <w:rFonts w:ascii="Calibri" w:hAnsi="Calibri"/>
          <w:sz w:val="24"/>
          <w:lang w:val="en-CA"/>
        </w:rPr>
      </w:pPr>
      <w:r>
        <w:rPr>
          <w:rFonts w:ascii="Calibri" w:hAnsi="Calibri"/>
          <w:b/>
          <w:sz w:val="24"/>
          <w:lang w:val="en-CA"/>
        </w:rPr>
        <w:t>P8</w:t>
      </w:r>
      <w:r>
        <w:rPr>
          <w:rFonts w:ascii="Calibri" w:hAnsi="Calibri"/>
          <w:sz w:val="24"/>
          <w:lang w:val="en-CA"/>
        </w:rPr>
        <w:t xml:space="preserve"> If the protest is based on a referee’s interpretation of the rules, the team against whom the protest is filed need not defend against the protest, or file a defence fee.  The protest committee will hear the matter on the strength of the protest submission.  The referee will outline the conditions under which he made the call and his interpretation of the rule(s) concerned by report submitted to the President.</w:t>
      </w:r>
    </w:p>
    <w:p w14:paraId="365EB9E9" w14:textId="77777777" w:rsidR="00820B3E" w:rsidRDefault="00820B3E" w:rsidP="00820B3E">
      <w:pPr>
        <w:rPr>
          <w:rFonts w:ascii="Calibri" w:hAnsi="Calibri"/>
          <w:sz w:val="24"/>
          <w:lang w:val="en-CA"/>
        </w:rPr>
      </w:pPr>
    </w:p>
    <w:p w14:paraId="6B0EE3C1" w14:textId="77777777" w:rsidR="00820B3E" w:rsidRDefault="00820B3E" w:rsidP="00820B3E">
      <w:pPr>
        <w:rPr>
          <w:rFonts w:ascii="Calibri" w:hAnsi="Calibri"/>
          <w:b/>
          <w:sz w:val="32"/>
          <w:lang w:val="en-CA"/>
        </w:rPr>
      </w:pPr>
      <w:r>
        <w:rPr>
          <w:rFonts w:ascii="Calibri" w:hAnsi="Calibri"/>
          <w:b/>
          <w:sz w:val="24"/>
          <w:lang w:val="en-CA"/>
        </w:rPr>
        <w:t>P9</w:t>
      </w:r>
      <w:r>
        <w:rPr>
          <w:rFonts w:ascii="Calibri" w:hAnsi="Calibri"/>
          <w:sz w:val="24"/>
          <w:lang w:val="en-CA"/>
        </w:rPr>
        <w:t xml:space="preserve"> A party to the protest may be represented by counsel or agent, call and examine witnesses, and present his arguments and submission, conduct cross-examinations of witnesses as reasonably required for a full and fair disclosure of facts given in evidence.</w:t>
      </w:r>
    </w:p>
    <w:p w14:paraId="35444139" w14:textId="77777777" w:rsidR="00820B3E" w:rsidRDefault="00820B3E" w:rsidP="00820B3E">
      <w:pPr>
        <w:rPr>
          <w:rFonts w:ascii="Calibri" w:hAnsi="Calibri"/>
          <w:sz w:val="24"/>
          <w:lang w:val="en-CA"/>
        </w:rPr>
      </w:pPr>
    </w:p>
    <w:p w14:paraId="168706F2" w14:textId="77777777" w:rsidR="00820B3E" w:rsidRDefault="00820B3E" w:rsidP="00820B3E">
      <w:pPr>
        <w:rPr>
          <w:rFonts w:ascii="Calibri" w:hAnsi="Calibri"/>
          <w:b/>
          <w:sz w:val="24"/>
          <w:lang w:val="en-CA"/>
        </w:rPr>
      </w:pPr>
    </w:p>
    <w:p w14:paraId="55222038" w14:textId="77777777" w:rsidR="00820B3E" w:rsidRDefault="00820B3E" w:rsidP="00820B3E">
      <w:pPr>
        <w:rPr>
          <w:rFonts w:ascii="Calibri" w:hAnsi="Calibri"/>
          <w:b/>
          <w:sz w:val="24"/>
          <w:lang w:val="en-CA"/>
        </w:rPr>
      </w:pPr>
    </w:p>
    <w:p w14:paraId="193AE7ED" w14:textId="77777777" w:rsidR="00820B3E" w:rsidRDefault="00820B3E" w:rsidP="00820B3E">
      <w:pPr>
        <w:rPr>
          <w:rFonts w:ascii="Calibri" w:hAnsi="Calibri"/>
          <w:b/>
          <w:sz w:val="24"/>
          <w:lang w:val="en-CA"/>
        </w:rPr>
      </w:pPr>
    </w:p>
    <w:p w14:paraId="03E031F0" w14:textId="77777777" w:rsidR="00820B3E" w:rsidRDefault="00820B3E" w:rsidP="00820B3E">
      <w:pPr>
        <w:rPr>
          <w:rFonts w:ascii="Calibri" w:hAnsi="Calibri"/>
          <w:b/>
          <w:sz w:val="24"/>
          <w:lang w:val="en-CA"/>
        </w:rPr>
      </w:pPr>
    </w:p>
    <w:p w14:paraId="4AE87890" w14:textId="77777777" w:rsidR="00820B3E" w:rsidRDefault="00820B3E" w:rsidP="00820B3E">
      <w:pPr>
        <w:rPr>
          <w:rFonts w:ascii="Calibri" w:hAnsi="Calibri"/>
          <w:b/>
          <w:sz w:val="24"/>
          <w:lang w:val="en-CA"/>
        </w:rPr>
      </w:pPr>
    </w:p>
    <w:p w14:paraId="536604E0" w14:textId="77777777" w:rsidR="00820B3E" w:rsidRDefault="00820B3E" w:rsidP="00820B3E">
      <w:pPr>
        <w:rPr>
          <w:rFonts w:ascii="Calibri" w:hAnsi="Calibri"/>
          <w:b/>
          <w:sz w:val="24"/>
          <w:lang w:val="en-CA"/>
        </w:rPr>
      </w:pPr>
    </w:p>
    <w:p w14:paraId="0BD5FA0B" w14:textId="77777777" w:rsidR="00820B3E" w:rsidRDefault="00820B3E" w:rsidP="00820B3E">
      <w:pPr>
        <w:rPr>
          <w:rFonts w:ascii="Calibri" w:hAnsi="Calibri"/>
          <w:b/>
          <w:sz w:val="24"/>
          <w:lang w:val="en-CA"/>
        </w:rPr>
      </w:pPr>
    </w:p>
    <w:p w14:paraId="2AE6245B" w14:textId="77777777" w:rsidR="00820B3E" w:rsidRDefault="00820B3E" w:rsidP="00820B3E">
      <w:pPr>
        <w:jc w:val="center"/>
        <w:rPr>
          <w:rFonts w:ascii="Calibri" w:hAnsi="Calibri"/>
          <w:b/>
          <w:sz w:val="32"/>
          <w:lang w:val="en-CA"/>
        </w:rPr>
      </w:pPr>
      <w:r>
        <w:rPr>
          <w:rFonts w:ascii="Calibri" w:hAnsi="Calibri"/>
          <w:b/>
          <w:sz w:val="32"/>
          <w:lang w:val="en-CA"/>
        </w:rPr>
        <w:t>PROTESTS</w:t>
      </w:r>
    </w:p>
    <w:p w14:paraId="5A0D7EEA" w14:textId="77777777" w:rsidR="00820B3E" w:rsidRDefault="00820B3E" w:rsidP="00820B3E">
      <w:pPr>
        <w:rPr>
          <w:rFonts w:ascii="Calibri" w:hAnsi="Calibri"/>
          <w:sz w:val="24"/>
          <w:lang w:val="en-CA"/>
        </w:rPr>
      </w:pPr>
      <w:r>
        <w:rPr>
          <w:rFonts w:ascii="Calibri" w:hAnsi="Calibri"/>
          <w:b/>
          <w:sz w:val="24"/>
          <w:lang w:val="en-CA"/>
        </w:rPr>
        <w:t>P10</w:t>
      </w:r>
      <w:r>
        <w:rPr>
          <w:rFonts w:ascii="Calibri" w:hAnsi="Calibri"/>
          <w:sz w:val="24"/>
          <w:lang w:val="en-CA"/>
        </w:rPr>
        <w:t xml:space="preserve"> The hearing shall be open to the public except where any party to the protest requests that it be held in camera.  If the protest hearer is of the opinion that intimate financial or personal matters may be disclosed, that would jeopardize the interest of any person, he may hold that part, or all, of the hearing in camera.</w:t>
      </w:r>
    </w:p>
    <w:p w14:paraId="52CAB844" w14:textId="77777777" w:rsidR="00820B3E" w:rsidRDefault="00820B3E" w:rsidP="00820B3E">
      <w:pPr>
        <w:rPr>
          <w:rFonts w:ascii="Calibri" w:hAnsi="Calibri"/>
          <w:sz w:val="24"/>
          <w:lang w:val="en-CA"/>
        </w:rPr>
      </w:pPr>
    </w:p>
    <w:p w14:paraId="4FAB8F6E" w14:textId="72F0EF30" w:rsidR="00820B3E" w:rsidRDefault="00820B3E" w:rsidP="00820B3E">
      <w:pPr>
        <w:rPr>
          <w:rFonts w:ascii="Calibri" w:hAnsi="Calibri"/>
          <w:sz w:val="24"/>
          <w:lang w:val="en-CA"/>
        </w:rPr>
      </w:pPr>
      <w:r>
        <w:rPr>
          <w:rFonts w:ascii="Calibri" w:hAnsi="Calibri"/>
          <w:b/>
          <w:sz w:val="24"/>
          <w:lang w:val="en-CA"/>
        </w:rPr>
        <w:t>P11</w:t>
      </w:r>
      <w:r>
        <w:rPr>
          <w:rFonts w:ascii="Calibri" w:hAnsi="Calibri"/>
          <w:sz w:val="24"/>
          <w:lang w:val="en-CA"/>
        </w:rPr>
        <w:t xml:space="preserve"> A protest can be heard by the GOJHL Board of Directors, the Officers or a Committee appointed by the Chairman </w:t>
      </w:r>
    </w:p>
    <w:p w14:paraId="2014E792" w14:textId="77777777" w:rsidR="00820B3E" w:rsidRDefault="00820B3E" w:rsidP="00820B3E">
      <w:pPr>
        <w:rPr>
          <w:rFonts w:ascii="Calibri" w:hAnsi="Calibri"/>
          <w:sz w:val="24"/>
          <w:lang w:val="en-CA"/>
        </w:rPr>
      </w:pPr>
    </w:p>
    <w:p w14:paraId="03AA3BEB" w14:textId="77777777" w:rsidR="00820B3E" w:rsidRDefault="00820B3E" w:rsidP="00820B3E">
      <w:pPr>
        <w:rPr>
          <w:rFonts w:ascii="Calibri" w:hAnsi="Calibri"/>
          <w:b/>
          <w:sz w:val="24"/>
          <w:lang w:val="en-CA"/>
        </w:rPr>
      </w:pPr>
      <w:r>
        <w:rPr>
          <w:rFonts w:ascii="Calibri" w:hAnsi="Calibri"/>
          <w:b/>
          <w:sz w:val="24"/>
          <w:lang w:val="en-CA"/>
        </w:rPr>
        <w:t>P12 The Committee:</w:t>
      </w:r>
    </w:p>
    <w:p w14:paraId="34C94864" w14:textId="53FF4E05" w:rsidR="00820B3E" w:rsidRDefault="00820B3E" w:rsidP="00820B3E">
      <w:pPr>
        <w:spacing w:line="360" w:lineRule="auto"/>
        <w:rPr>
          <w:rFonts w:ascii="Calibri" w:hAnsi="Calibri"/>
          <w:sz w:val="24"/>
          <w:lang w:val="en-CA"/>
        </w:rPr>
      </w:pPr>
      <w:r>
        <w:rPr>
          <w:rFonts w:ascii="Calibri" w:hAnsi="Calibri"/>
          <w:b/>
          <w:sz w:val="24"/>
          <w:lang w:val="en-CA"/>
        </w:rPr>
        <w:t>(a)</w:t>
      </w:r>
      <w:r>
        <w:rPr>
          <w:rFonts w:ascii="Calibri" w:hAnsi="Calibri"/>
          <w:sz w:val="24"/>
          <w:lang w:val="en-CA"/>
        </w:rPr>
        <w:t xml:space="preserve"> In hearing a protest, the committee shall first determine if it has jurisdiction in the matter.</w:t>
      </w:r>
    </w:p>
    <w:p w14:paraId="28EAE9A3" w14:textId="77777777" w:rsidR="00820B3E" w:rsidRDefault="00820B3E" w:rsidP="00820B3E">
      <w:pPr>
        <w:spacing w:line="360" w:lineRule="auto"/>
        <w:rPr>
          <w:rFonts w:ascii="Calibri" w:hAnsi="Calibri"/>
          <w:sz w:val="24"/>
          <w:lang w:val="en-CA"/>
        </w:rPr>
      </w:pPr>
      <w:r>
        <w:rPr>
          <w:rFonts w:ascii="Calibri" w:hAnsi="Calibri"/>
          <w:b/>
          <w:sz w:val="24"/>
          <w:lang w:val="en-CA"/>
        </w:rPr>
        <w:t>(b)</w:t>
      </w:r>
      <w:r>
        <w:rPr>
          <w:rFonts w:ascii="Calibri" w:hAnsi="Calibri"/>
          <w:sz w:val="24"/>
          <w:lang w:val="en-CA"/>
        </w:rPr>
        <w:t xml:space="preserve"> Whether the protest filing procedures have been properly followed.</w:t>
      </w:r>
    </w:p>
    <w:p w14:paraId="5711ECBA" w14:textId="77777777" w:rsidR="00820B3E" w:rsidRDefault="00820B3E" w:rsidP="00820B3E">
      <w:pPr>
        <w:spacing w:line="360" w:lineRule="auto"/>
        <w:rPr>
          <w:rFonts w:ascii="Calibri" w:hAnsi="Calibri"/>
          <w:sz w:val="24"/>
          <w:lang w:val="en-CA"/>
        </w:rPr>
      </w:pPr>
      <w:r>
        <w:rPr>
          <w:rFonts w:ascii="Calibri" w:hAnsi="Calibri"/>
          <w:b/>
          <w:sz w:val="24"/>
          <w:lang w:val="en-CA"/>
        </w:rPr>
        <w:t>(c)</w:t>
      </w:r>
      <w:r>
        <w:rPr>
          <w:rFonts w:ascii="Calibri" w:hAnsi="Calibri"/>
          <w:sz w:val="24"/>
          <w:lang w:val="en-CA"/>
        </w:rPr>
        <w:t xml:space="preserve"> Whether the proper fees have been submitted.</w:t>
      </w:r>
    </w:p>
    <w:p w14:paraId="65B38598" w14:textId="77777777" w:rsidR="00820B3E" w:rsidRDefault="00820B3E" w:rsidP="00820B3E">
      <w:pPr>
        <w:rPr>
          <w:rFonts w:ascii="Calibri" w:hAnsi="Calibri"/>
          <w:b/>
          <w:sz w:val="24"/>
          <w:lang w:val="en-CA"/>
        </w:rPr>
      </w:pPr>
      <w:r>
        <w:rPr>
          <w:rFonts w:ascii="Calibri" w:hAnsi="Calibri"/>
          <w:b/>
          <w:sz w:val="24"/>
          <w:lang w:val="en-CA"/>
        </w:rPr>
        <w:t>(d)</w:t>
      </w:r>
      <w:r>
        <w:rPr>
          <w:rFonts w:ascii="Calibri" w:hAnsi="Calibri"/>
          <w:sz w:val="24"/>
          <w:lang w:val="en-CA"/>
        </w:rPr>
        <w:t xml:space="preserve"> If (b) and (c) are not in order shall excuse the principals and decide whether there is sufficient merit to continue with the hearing.</w:t>
      </w:r>
    </w:p>
    <w:p w14:paraId="3318F2E2" w14:textId="77777777" w:rsidR="00820B3E" w:rsidRDefault="00820B3E" w:rsidP="00820B3E">
      <w:pPr>
        <w:rPr>
          <w:rFonts w:ascii="Calibri" w:hAnsi="Calibri"/>
          <w:b/>
          <w:sz w:val="24"/>
          <w:lang w:val="en-CA"/>
        </w:rPr>
      </w:pPr>
    </w:p>
    <w:p w14:paraId="5F2A99B2" w14:textId="77777777" w:rsidR="00820B3E" w:rsidRDefault="00820B3E" w:rsidP="00820B3E">
      <w:pPr>
        <w:rPr>
          <w:rFonts w:ascii="Calibri" w:hAnsi="Calibri"/>
          <w:b/>
          <w:sz w:val="24"/>
          <w:lang w:val="en-CA"/>
        </w:rPr>
      </w:pPr>
      <w:r>
        <w:rPr>
          <w:rFonts w:ascii="Calibri" w:hAnsi="Calibri"/>
          <w:b/>
          <w:sz w:val="24"/>
          <w:lang w:val="en-CA"/>
        </w:rPr>
        <w:t>P13 The hearing procedure:</w:t>
      </w:r>
    </w:p>
    <w:p w14:paraId="00573A74" w14:textId="77777777" w:rsidR="00820B3E" w:rsidRDefault="00820B3E" w:rsidP="00820B3E">
      <w:pPr>
        <w:spacing w:line="360" w:lineRule="auto"/>
        <w:rPr>
          <w:rFonts w:ascii="Calibri" w:hAnsi="Calibri"/>
          <w:sz w:val="24"/>
          <w:lang w:val="en-CA"/>
        </w:rPr>
      </w:pPr>
      <w:r>
        <w:rPr>
          <w:rFonts w:ascii="Calibri" w:hAnsi="Calibri"/>
          <w:b/>
          <w:sz w:val="24"/>
          <w:lang w:val="en-CA"/>
        </w:rPr>
        <w:t>(a)</w:t>
      </w:r>
      <w:r>
        <w:rPr>
          <w:rFonts w:ascii="Calibri" w:hAnsi="Calibri"/>
          <w:sz w:val="24"/>
          <w:lang w:val="en-CA"/>
        </w:rPr>
        <w:t xml:space="preserve"> A submission should deal strictly with the facts.</w:t>
      </w:r>
    </w:p>
    <w:p w14:paraId="2D6A2020" w14:textId="77777777" w:rsidR="00820B3E" w:rsidRDefault="00820B3E" w:rsidP="00820B3E">
      <w:pPr>
        <w:spacing w:line="360" w:lineRule="auto"/>
        <w:rPr>
          <w:rFonts w:ascii="Calibri" w:hAnsi="Calibri"/>
          <w:sz w:val="24"/>
          <w:lang w:val="en-CA"/>
        </w:rPr>
      </w:pPr>
      <w:r>
        <w:rPr>
          <w:rFonts w:ascii="Calibri" w:hAnsi="Calibri"/>
          <w:b/>
          <w:sz w:val="24"/>
          <w:lang w:val="en-CA"/>
        </w:rPr>
        <w:t>(b)</w:t>
      </w:r>
      <w:r>
        <w:rPr>
          <w:rFonts w:ascii="Calibri" w:hAnsi="Calibri"/>
          <w:sz w:val="24"/>
          <w:lang w:val="en-CA"/>
        </w:rPr>
        <w:t xml:space="preserve"> One spokesman for each side shall be allowed to complete their submission without interruption.</w:t>
      </w:r>
    </w:p>
    <w:p w14:paraId="5B5F3701" w14:textId="77777777" w:rsidR="00820B3E" w:rsidRDefault="00820B3E" w:rsidP="00820B3E">
      <w:pPr>
        <w:spacing w:line="360" w:lineRule="auto"/>
        <w:rPr>
          <w:rFonts w:ascii="Calibri" w:hAnsi="Calibri"/>
          <w:sz w:val="24"/>
          <w:lang w:val="en-CA"/>
        </w:rPr>
      </w:pPr>
      <w:r>
        <w:rPr>
          <w:rFonts w:ascii="Calibri" w:hAnsi="Calibri"/>
          <w:b/>
          <w:sz w:val="24"/>
          <w:lang w:val="en-CA"/>
        </w:rPr>
        <w:t>(c)</w:t>
      </w:r>
      <w:r>
        <w:rPr>
          <w:rFonts w:ascii="Calibri" w:hAnsi="Calibri"/>
          <w:sz w:val="24"/>
          <w:lang w:val="en-CA"/>
        </w:rPr>
        <w:t xml:space="preserve"> Committee members or other parties to the protest may ask questions, through the Chairman, once the submission is completed.</w:t>
      </w:r>
    </w:p>
    <w:p w14:paraId="6ECDFF3F" w14:textId="77777777" w:rsidR="00820B3E" w:rsidRDefault="00820B3E" w:rsidP="00820B3E">
      <w:pPr>
        <w:rPr>
          <w:rFonts w:ascii="Calibri" w:hAnsi="Calibri"/>
          <w:b/>
          <w:sz w:val="24"/>
          <w:lang w:val="en-CA"/>
        </w:rPr>
      </w:pPr>
      <w:r>
        <w:rPr>
          <w:rFonts w:ascii="Calibri" w:hAnsi="Calibri"/>
          <w:b/>
          <w:sz w:val="24"/>
          <w:lang w:val="en-CA"/>
        </w:rPr>
        <w:t>P14 In rendering a final decision the committee may:</w:t>
      </w:r>
    </w:p>
    <w:p w14:paraId="6FC60494" w14:textId="77777777" w:rsidR="00820B3E" w:rsidRDefault="00820B3E" w:rsidP="00820B3E">
      <w:pPr>
        <w:spacing w:line="360" w:lineRule="auto"/>
        <w:rPr>
          <w:rFonts w:ascii="Calibri" w:hAnsi="Calibri"/>
          <w:sz w:val="24"/>
          <w:lang w:val="en-CA"/>
        </w:rPr>
      </w:pPr>
      <w:r>
        <w:rPr>
          <w:rFonts w:ascii="Calibri" w:hAnsi="Calibri"/>
          <w:b/>
          <w:sz w:val="24"/>
          <w:lang w:val="en-CA"/>
        </w:rPr>
        <w:t>(a)</w:t>
      </w:r>
      <w:r>
        <w:rPr>
          <w:rFonts w:ascii="Calibri" w:hAnsi="Calibri"/>
          <w:sz w:val="24"/>
          <w:lang w:val="en-CA"/>
        </w:rPr>
        <w:t xml:space="preserve"> Allow the protest</w:t>
      </w:r>
    </w:p>
    <w:p w14:paraId="1AAA82CD" w14:textId="77777777" w:rsidR="00820B3E" w:rsidRDefault="00820B3E" w:rsidP="00820B3E">
      <w:pPr>
        <w:spacing w:line="360" w:lineRule="auto"/>
        <w:rPr>
          <w:rFonts w:ascii="Calibri" w:hAnsi="Calibri"/>
          <w:sz w:val="24"/>
          <w:lang w:val="en-CA"/>
        </w:rPr>
      </w:pPr>
      <w:r>
        <w:rPr>
          <w:rFonts w:ascii="Calibri" w:hAnsi="Calibri"/>
          <w:b/>
          <w:sz w:val="24"/>
          <w:lang w:val="en-CA"/>
        </w:rPr>
        <w:t>(b)</w:t>
      </w:r>
      <w:r>
        <w:rPr>
          <w:rFonts w:ascii="Calibri" w:hAnsi="Calibri"/>
          <w:sz w:val="24"/>
          <w:lang w:val="en-CA"/>
        </w:rPr>
        <w:t xml:space="preserve"> Dismiss the protest</w:t>
      </w:r>
    </w:p>
    <w:p w14:paraId="1A68AEA5" w14:textId="77777777" w:rsidR="00820B3E" w:rsidRDefault="00820B3E" w:rsidP="00820B3E">
      <w:pPr>
        <w:spacing w:line="360" w:lineRule="auto"/>
        <w:rPr>
          <w:rFonts w:ascii="Calibri" w:hAnsi="Calibri"/>
          <w:sz w:val="24"/>
          <w:lang w:val="en-CA"/>
        </w:rPr>
      </w:pPr>
      <w:r>
        <w:rPr>
          <w:rFonts w:ascii="Calibri" w:hAnsi="Calibri"/>
          <w:b/>
          <w:sz w:val="24"/>
          <w:lang w:val="en-CA"/>
        </w:rPr>
        <w:t>(c)</w:t>
      </w:r>
      <w:r>
        <w:rPr>
          <w:rFonts w:ascii="Calibri" w:hAnsi="Calibri"/>
          <w:sz w:val="24"/>
          <w:lang w:val="en-CA"/>
        </w:rPr>
        <w:t xml:space="preserve"> Determine the disposition of the protest and/or defence fees</w:t>
      </w:r>
    </w:p>
    <w:p w14:paraId="3D009DF3" w14:textId="77777777" w:rsidR="00820B3E" w:rsidRDefault="00820B3E" w:rsidP="00820B3E">
      <w:pPr>
        <w:spacing w:line="360" w:lineRule="auto"/>
        <w:rPr>
          <w:rFonts w:ascii="Calibri" w:hAnsi="Calibri"/>
          <w:sz w:val="24"/>
          <w:lang w:val="en-CA"/>
        </w:rPr>
      </w:pPr>
      <w:r>
        <w:rPr>
          <w:rFonts w:ascii="Calibri" w:hAnsi="Calibri"/>
          <w:b/>
          <w:sz w:val="24"/>
          <w:lang w:val="en-CA"/>
        </w:rPr>
        <w:t>(d)</w:t>
      </w:r>
      <w:r>
        <w:rPr>
          <w:rFonts w:ascii="Calibri" w:hAnsi="Calibri"/>
          <w:sz w:val="24"/>
          <w:lang w:val="en-CA"/>
        </w:rPr>
        <w:t xml:space="preserve"> Assess fines that are appropriate</w:t>
      </w:r>
    </w:p>
    <w:p w14:paraId="5BB83AFB" w14:textId="77777777" w:rsidR="00820B3E" w:rsidRDefault="00820B3E" w:rsidP="00820B3E">
      <w:pPr>
        <w:spacing w:line="360" w:lineRule="auto"/>
        <w:rPr>
          <w:rFonts w:ascii="Calibri" w:hAnsi="Calibri"/>
          <w:sz w:val="24"/>
          <w:lang w:val="en-CA"/>
        </w:rPr>
      </w:pPr>
      <w:r>
        <w:rPr>
          <w:rFonts w:ascii="Calibri" w:hAnsi="Calibri"/>
          <w:b/>
          <w:sz w:val="24"/>
          <w:lang w:val="en-CA"/>
        </w:rPr>
        <w:t>(e)</w:t>
      </w:r>
      <w:r>
        <w:rPr>
          <w:rFonts w:ascii="Calibri" w:hAnsi="Calibri"/>
          <w:sz w:val="24"/>
          <w:lang w:val="en-CA"/>
        </w:rPr>
        <w:t xml:space="preserve"> Determine the disposition of the game protested</w:t>
      </w:r>
    </w:p>
    <w:p w14:paraId="45BBA8DE" w14:textId="77777777" w:rsidR="00820B3E" w:rsidRDefault="00820B3E" w:rsidP="00820B3E">
      <w:pPr>
        <w:spacing w:line="360" w:lineRule="auto"/>
        <w:rPr>
          <w:rFonts w:ascii="Calibri" w:hAnsi="Calibri"/>
          <w:sz w:val="24"/>
          <w:lang w:val="en-CA"/>
        </w:rPr>
      </w:pPr>
      <w:r>
        <w:rPr>
          <w:rFonts w:ascii="Calibri" w:hAnsi="Calibri"/>
          <w:b/>
          <w:sz w:val="24"/>
          <w:lang w:val="en-CA"/>
        </w:rPr>
        <w:t>(f)</w:t>
      </w:r>
      <w:r>
        <w:rPr>
          <w:rFonts w:ascii="Calibri" w:hAnsi="Calibri"/>
          <w:sz w:val="24"/>
          <w:lang w:val="en-CA"/>
        </w:rPr>
        <w:t xml:space="preserve"> Determine suspensions that are appropriate</w:t>
      </w:r>
    </w:p>
    <w:p w14:paraId="4B4A25E3" w14:textId="77777777" w:rsidR="00820B3E" w:rsidRDefault="00820B3E" w:rsidP="00820B3E">
      <w:pPr>
        <w:rPr>
          <w:rFonts w:ascii="Calibri" w:hAnsi="Calibri"/>
          <w:sz w:val="24"/>
          <w:lang w:val="en-CA"/>
        </w:rPr>
      </w:pPr>
    </w:p>
    <w:p w14:paraId="769C5C1D" w14:textId="77777777" w:rsidR="00820B3E" w:rsidRDefault="00820B3E" w:rsidP="00820B3E">
      <w:pPr>
        <w:rPr>
          <w:rFonts w:ascii="Calibri" w:hAnsi="Calibri"/>
          <w:sz w:val="24"/>
          <w:lang w:val="en-CA"/>
        </w:rPr>
      </w:pPr>
      <w:r>
        <w:rPr>
          <w:rFonts w:ascii="Calibri" w:hAnsi="Calibri"/>
          <w:b/>
          <w:sz w:val="24"/>
          <w:lang w:val="en-CA"/>
        </w:rPr>
        <w:t xml:space="preserve">P15 </w:t>
      </w:r>
      <w:r>
        <w:rPr>
          <w:rFonts w:ascii="Calibri" w:hAnsi="Calibri"/>
          <w:sz w:val="24"/>
          <w:lang w:val="en-CA"/>
        </w:rPr>
        <w:t>The Committee shall give its oral decision not more than 5 days after the hearing is completed, followed by a written report of their findings</w:t>
      </w:r>
    </w:p>
    <w:p w14:paraId="6786BEE4" w14:textId="77777777" w:rsidR="00820B3E" w:rsidRDefault="00820B3E" w:rsidP="00820B3E">
      <w:pPr>
        <w:rPr>
          <w:rFonts w:ascii="Calibri" w:hAnsi="Calibri"/>
          <w:sz w:val="24"/>
          <w:lang w:val="en-CA"/>
        </w:rPr>
      </w:pPr>
    </w:p>
    <w:p w14:paraId="3756227F" w14:textId="5075E5B0" w:rsidR="00F149A6" w:rsidRDefault="00F149A6" w:rsidP="00820B3E"/>
    <w:sectPr w:rsidR="00F149A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36C2" w14:textId="77777777" w:rsidR="00900C0F" w:rsidRDefault="00900C0F" w:rsidP="00311B69">
      <w:r>
        <w:separator/>
      </w:r>
    </w:p>
  </w:endnote>
  <w:endnote w:type="continuationSeparator" w:id="0">
    <w:p w14:paraId="1B22AD84" w14:textId="77777777" w:rsidR="00900C0F" w:rsidRDefault="00900C0F" w:rsidP="0031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0C70" w14:textId="77777777" w:rsidR="00900C0F" w:rsidRDefault="00900C0F" w:rsidP="00311B69">
      <w:r>
        <w:separator/>
      </w:r>
    </w:p>
  </w:footnote>
  <w:footnote w:type="continuationSeparator" w:id="0">
    <w:p w14:paraId="642AB634" w14:textId="77777777" w:rsidR="00900C0F" w:rsidRDefault="00900C0F" w:rsidP="00311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6F77" w14:textId="12763BC3" w:rsidR="00311B69" w:rsidRDefault="00311B69">
    <w:pPr>
      <w:pStyle w:val="Header"/>
    </w:pPr>
    <w:r>
      <w:rPr>
        <w:rFonts w:ascii="Calibri" w:hAnsi="Calibri"/>
        <w:b/>
        <w:noProof/>
        <w:sz w:val="32"/>
        <w:lang w:eastAsia="en-US"/>
      </w:rPr>
      <w:drawing>
        <wp:anchor distT="0" distB="0" distL="114300" distR="114300" simplePos="0" relativeHeight="251658240" behindDoc="0" locked="0" layoutInCell="1" allowOverlap="1" wp14:anchorId="5E4B46AF" wp14:editId="6C52F714">
          <wp:simplePos x="0" y="0"/>
          <wp:positionH relativeFrom="margin">
            <wp:posOffset>5257800</wp:posOffset>
          </wp:positionH>
          <wp:positionV relativeFrom="margin">
            <wp:posOffset>-800100</wp:posOffset>
          </wp:positionV>
          <wp:extent cx="1257300" cy="1257300"/>
          <wp:effectExtent l="0" t="0" r="12700" b="12700"/>
          <wp:wrapSquare wrapText="bothSides"/>
          <wp:docPr id="1" name="Picture 1" descr="Macintosh HD:Users:twolves_dalley19:Desktop:why n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wolves_dalley19:Desktop:why n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3E"/>
    <w:rsid w:val="001A62A2"/>
    <w:rsid w:val="00311B69"/>
    <w:rsid w:val="007178A8"/>
    <w:rsid w:val="00820B3E"/>
    <w:rsid w:val="00900C0F"/>
    <w:rsid w:val="00AC03CE"/>
    <w:rsid w:val="00BF6823"/>
    <w:rsid w:val="00E25CB4"/>
    <w:rsid w:val="00F149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A4F45"/>
  <w15:docId w15:val="{7B625005-8215-4105-B2F4-86EC560F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B3E"/>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B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B69"/>
    <w:rPr>
      <w:rFonts w:ascii="Lucida Grande" w:eastAsia="Times New Roman" w:hAnsi="Lucida Grande" w:cs="Times New Roman"/>
      <w:sz w:val="18"/>
      <w:szCs w:val="18"/>
      <w:lang w:val="en-US" w:eastAsia="en-CA"/>
    </w:rPr>
  </w:style>
  <w:style w:type="paragraph" w:styleId="Header">
    <w:name w:val="header"/>
    <w:basedOn w:val="Normal"/>
    <w:link w:val="HeaderChar"/>
    <w:uiPriority w:val="99"/>
    <w:unhideWhenUsed/>
    <w:rsid w:val="00311B69"/>
    <w:pPr>
      <w:tabs>
        <w:tab w:val="center" w:pos="4320"/>
        <w:tab w:val="right" w:pos="8640"/>
      </w:tabs>
    </w:pPr>
  </w:style>
  <w:style w:type="character" w:customStyle="1" w:styleId="HeaderChar">
    <w:name w:val="Header Char"/>
    <w:basedOn w:val="DefaultParagraphFont"/>
    <w:link w:val="Header"/>
    <w:uiPriority w:val="99"/>
    <w:rsid w:val="00311B69"/>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311B69"/>
    <w:pPr>
      <w:tabs>
        <w:tab w:val="center" w:pos="4320"/>
        <w:tab w:val="right" w:pos="8640"/>
      </w:tabs>
    </w:pPr>
  </w:style>
  <w:style w:type="character" w:customStyle="1" w:styleId="FooterChar">
    <w:name w:val="Footer Char"/>
    <w:basedOn w:val="DefaultParagraphFont"/>
    <w:link w:val="Footer"/>
    <w:uiPriority w:val="99"/>
    <w:rsid w:val="00311B69"/>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Tuck</dc:creator>
  <cp:keywords/>
  <dc:description/>
  <cp:lastModifiedBy>Matthew Dalley</cp:lastModifiedBy>
  <cp:revision>2</cp:revision>
  <dcterms:created xsi:type="dcterms:W3CDTF">2019-11-18T18:15:00Z</dcterms:created>
  <dcterms:modified xsi:type="dcterms:W3CDTF">2019-11-18T18:15:00Z</dcterms:modified>
</cp:coreProperties>
</file>